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B0FC8" w14:textId="249E69F1" w:rsidR="00023BA7" w:rsidRDefault="00023BA7" w:rsidP="00023BA7">
      <w:pPr>
        <w:pStyle w:val="NormalWeb"/>
        <w:spacing w:line="300" w:lineRule="atLeast"/>
        <w:rPr>
          <w:rFonts w:ascii="Segoe UI" w:hAnsi="Segoe UI" w:cs="Segoe UI"/>
          <w:sz w:val="21"/>
          <w:szCs w:val="21"/>
        </w:rPr>
      </w:pP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t>15 June 2026</w:t>
      </w:r>
    </w:p>
    <w:p w14:paraId="13B79BF5" w14:textId="77777777" w:rsidR="00023BA7" w:rsidRDefault="00023BA7" w:rsidP="00023BA7">
      <w:pPr>
        <w:pStyle w:val="NormalWeb"/>
        <w:spacing w:line="300" w:lineRule="atLeast"/>
        <w:rPr>
          <w:rFonts w:ascii="Segoe UI" w:hAnsi="Segoe UI" w:cs="Segoe UI"/>
          <w:sz w:val="21"/>
          <w:szCs w:val="21"/>
        </w:rPr>
      </w:pPr>
    </w:p>
    <w:p w14:paraId="07F295C1" w14:textId="4318751C" w:rsidR="00023BA7" w:rsidRDefault="00023BA7" w:rsidP="00023BA7">
      <w:pPr>
        <w:pStyle w:val="NormalWeb"/>
        <w:spacing w:line="300" w:lineRule="atLeast"/>
        <w:rPr>
          <w:rFonts w:ascii="Segoe UI" w:hAnsi="Segoe UI" w:cs="Segoe UI"/>
          <w:sz w:val="21"/>
          <w:szCs w:val="21"/>
        </w:rPr>
      </w:pPr>
      <w:r>
        <w:rPr>
          <w:rFonts w:ascii="Segoe UI" w:hAnsi="Segoe UI" w:cs="Segoe UI"/>
          <w:sz w:val="21"/>
          <w:szCs w:val="21"/>
        </w:rPr>
        <w:t>Dear Professor Jane Norman,</w:t>
      </w:r>
    </w:p>
    <w:p w14:paraId="3AD8DECE" w14:textId="52BF176D" w:rsidR="00023BA7" w:rsidRDefault="00023BA7" w:rsidP="00023BA7">
      <w:pPr>
        <w:pStyle w:val="NormalWeb"/>
        <w:spacing w:line="300" w:lineRule="atLeast"/>
        <w:rPr>
          <w:rFonts w:ascii="Segoe UI" w:hAnsi="Segoe UI" w:cs="Segoe UI"/>
          <w:sz w:val="21"/>
          <w:szCs w:val="21"/>
        </w:rPr>
      </w:pPr>
      <w:r>
        <w:rPr>
          <w:rFonts w:ascii="Segoe UI" w:hAnsi="Segoe UI" w:cs="Segoe UI"/>
          <w:sz w:val="21"/>
          <w:szCs w:val="21"/>
        </w:rPr>
        <w:t>The Association of University Language Communities expresses its deep concern regarding the proposed closure of the Language Department and Language Centre at the University of Nottingham. Such a decision risks undermining not only the institution’s academic breadth, but also its capacity to engage meaningfully with an increasingly interconnected and multilingual world.</w:t>
      </w:r>
    </w:p>
    <w:p w14:paraId="2CE865B8" w14:textId="77777777" w:rsidR="00023BA7" w:rsidRDefault="00023BA7" w:rsidP="00023BA7">
      <w:pPr>
        <w:pStyle w:val="NormalWeb"/>
        <w:spacing w:line="300" w:lineRule="atLeast"/>
        <w:rPr>
          <w:rFonts w:ascii="Segoe UI" w:hAnsi="Segoe UI" w:cs="Segoe UI"/>
          <w:sz w:val="21"/>
          <w:szCs w:val="21"/>
        </w:rPr>
      </w:pPr>
      <w:r>
        <w:rPr>
          <w:rFonts w:ascii="Segoe UI" w:hAnsi="Segoe UI" w:cs="Segoe UI"/>
          <w:sz w:val="21"/>
          <w:szCs w:val="21"/>
        </w:rPr>
        <w:t>Languages are central to the internationalisation agendas of UK higher education. They enable mobility, foster global partnerships, and equip students with the intercultural competencies necessary to collaborate across borders. At a time when universities are seeking to strengthen their global outlook, the removal of language provision represents a significant step backwards.</w:t>
      </w:r>
    </w:p>
    <w:p w14:paraId="6A93185C" w14:textId="77777777" w:rsidR="00023BA7" w:rsidRDefault="00023BA7" w:rsidP="00023BA7">
      <w:pPr>
        <w:pStyle w:val="NormalWeb"/>
        <w:spacing w:line="300" w:lineRule="atLeast"/>
        <w:rPr>
          <w:rFonts w:ascii="Segoe UI" w:hAnsi="Segoe UI" w:cs="Segoe UI"/>
          <w:sz w:val="21"/>
          <w:szCs w:val="21"/>
        </w:rPr>
      </w:pPr>
      <w:r>
        <w:rPr>
          <w:rFonts w:ascii="Segoe UI" w:hAnsi="Segoe UI" w:cs="Segoe UI"/>
          <w:sz w:val="21"/>
          <w:szCs w:val="21"/>
        </w:rPr>
        <w:t>The University of Nottingham’s Language Centre also plays a vital role in supporting the institution’s international campuses and transnational education strategy. As a university with established campuses abroad, Nottingham depends on strong linguistic and intercultural expertise to ensure effective collaboration, student mobility, and academic coherence across sites. Language provision is therefore not peripheral, but integral to sustaining the success and distinctiveness of Nottingham’s global campus model.</w:t>
      </w:r>
    </w:p>
    <w:p w14:paraId="281A7D6E" w14:textId="77777777" w:rsidR="00023BA7" w:rsidRDefault="00023BA7" w:rsidP="00023BA7">
      <w:pPr>
        <w:pStyle w:val="NormalWeb"/>
        <w:spacing w:line="300" w:lineRule="atLeast"/>
        <w:rPr>
          <w:rFonts w:ascii="Segoe UI" w:hAnsi="Segoe UI" w:cs="Segoe UI"/>
          <w:sz w:val="21"/>
          <w:szCs w:val="21"/>
        </w:rPr>
      </w:pPr>
      <w:r>
        <w:rPr>
          <w:rFonts w:ascii="Segoe UI" w:hAnsi="Segoe UI" w:cs="Segoe UI"/>
          <w:sz w:val="21"/>
          <w:szCs w:val="21"/>
        </w:rPr>
        <w:t>Equally, language skills are critical for employability. Employers consistently value graduates who can operate across linguistic and cultural contexts, demonstrating adaptability, communication skills, and global awareness. Reducing opportunities to study languages at university level will have a direct impact on the preparedness of graduates entering a competitive and international job market.</w:t>
      </w:r>
    </w:p>
    <w:p w14:paraId="1B4AB00B" w14:textId="77777777" w:rsidR="00023BA7" w:rsidRDefault="00023BA7" w:rsidP="00023BA7">
      <w:pPr>
        <w:pStyle w:val="NormalWeb"/>
        <w:spacing w:line="300" w:lineRule="atLeast"/>
        <w:rPr>
          <w:rFonts w:ascii="Segoe UI" w:hAnsi="Segoe UI" w:cs="Segoe UI"/>
          <w:sz w:val="21"/>
          <w:szCs w:val="21"/>
        </w:rPr>
      </w:pPr>
      <w:r>
        <w:rPr>
          <w:rFonts w:ascii="Segoe UI" w:hAnsi="Segoe UI" w:cs="Segoe UI"/>
          <w:sz w:val="21"/>
          <w:szCs w:val="21"/>
        </w:rPr>
        <w:t xml:space="preserve">Language provision is also of particular importance to international student recruitment and experience. In an increasingly competitive global higher education market, prospective students are drawn to institutions that demonstrate a clear commitment to multilingualism, intercultural engagement, and global citizenship. The ability to study languages—whether as part of a degree or alongside it—enhances both the academic and social experience of international </w:t>
      </w:r>
      <w:proofErr w:type="gramStart"/>
      <w:r>
        <w:rPr>
          <w:rFonts w:ascii="Segoe UI" w:hAnsi="Segoe UI" w:cs="Segoe UI"/>
          <w:sz w:val="21"/>
          <w:szCs w:val="21"/>
        </w:rPr>
        <w:t>students, and</w:t>
      </w:r>
      <w:proofErr w:type="gramEnd"/>
      <w:r>
        <w:rPr>
          <w:rFonts w:ascii="Segoe UI" w:hAnsi="Segoe UI" w:cs="Segoe UI"/>
          <w:sz w:val="21"/>
          <w:szCs w:val="21"/>
        </w:rPr>
        <w:t xml:space="preserve"> signals an inclusive and outward-looking institutional culture. A reduction in language provision risks sending the opposite message and may weaken the University of Nottingham’s position in attracting and retaining international students at a time when this cohort is strategically and financially crucial.</w:t>
      </w:r>
    </w:p>
    <w:p w14:paraId="1B5049A0" w14:textId="77777777" w:rsidR="00023BA7" w:rsidRDefault="00023BA7" w:rsidP="00023BA7">
      <w:pPr>
        <w:pStyle w:val="NormalWeb"/>
        <w:spacing w:line="300" w:lineRule="atLeast"/>
        <w:rPr>
          <w:rFonts w:ascii="Segoe UI" w:hAnsi="Segoe UI" w:cs="Segoe UI"/>
          <w:sz w:val="21"/>
          <w:szCs w:val="21"/>
        </w:rPr>
      </w:pPr>
      <w:r>
        <w:rPr>
          <w:rFonts w:ascii="Segoe UI" w:hAnsi="Segoe UI" w:cs="Segoe UI"/>
          <w:sz w:val="21"/>
          <w:szCs w:val="21"/>
        </w:rPr>
        <w:t xml:space="preserve">The proposed closures also raise serious concerns from a widening participation and diversity perspective. For many students in the UK, access to language learning at school level is uneven or absent. University language centres play a vital role in ensuring that these students are not excluded from </w:t>
      </w:r>
      <w:r>
        <w:rPr>
          <w:rFonts w:ascii="Segoe UI" w:hAnsi="Segoe UI" w:cs="Segoe UI"/>
          <w:sz w:val="21"/>
          <w:szCs w:val="21"/>
        </w:rPr>
        <w:lastRenderedPageBreak/>
        <w:t>acquiring linguistic skills later in their educational journey. Maintaining such provision is therefore essential to equity of access and opportunity.</w:t>
      </w:r>
    </w:p>
    <w:p w14:paraId="7225385E" w14:textId="77777777" w:rsidR="00023BA7" w:rsidRDefault="00023BA7" w:rsidP="00023BA7">
      <w:pPr>
        <w:pStyle w:val="NormalWeb"/>
        <w:spacing w:line="300" w:lineRule="atLeast"/>
        <w:rPr>
          <w:rFonts w:ascii="Segoe UI" w:hAnsi="Segoe UI" w:cs="Segoe UI"/>
          <w:sz w:val="21"/>
          <w:szCs w:val="21"/>
        </w:rPr>
      </w:pPr>
      <w:r>
        <w:rPr>
          <w:rFonts w:ascii="Segoe UI" w:hAnsi="Segoe UI" w:cs="Segoe UI"/>
          <w:sz w:val="21"/>
          <w:szCs w:val="21"/>
        </w:rPr>
        <w:t>Furthermore, AULC wishes to emphasise the importance of valuing community languages and the rich diversity of cultures they represent. Language centres are often key spaces where heritage and community languages can be recognised, supported, and developed, contributing to a more inclusive academic environment.</w:t>
      </w:r>
    </w:p>
    <w:p w14:paraId="21E97B3E" w14:textId="76183B41" w:rsidR="00023BA7" w:rsidRDefault="00023BA7" w:rsidP="00023BA7">
      <w:pPr>
        <w:pStyle w:val="NormalWeb"/>
        <w:spacing w:line="300" w:lineRule="atLeast"/>
        <w:rPr>
          <w:rFonts w:ascii="Segoe UI" w:hAnsi="Segoe UI" w:cs="Segoe UI"/>
          <w:sz w:val="21"/>
          <w:szCs w:val="21"/>
        </w:rPr>
      </w:pPr>
      <w:r>
        <w:rPr>
          <w:rFonts w:ascii="Segoe UI" w:hAnsi="Segoe UI" w:cs="Segoe UI"/>
          <w:sz w:val="21"/>
          <w:szCs w:val="21"/>
        </w:rPr>
        <w:t>In a multilingual and multicultural society—where the ability to communicate across languages and cultures is increasingly central to education, research, and global engagement—universities have a responsibility to nurture linguistic and cultural diversity, not diminish it. We therefore strongly urge the University of Nottingham to reconsider its plans and to reaffirm, clearly and publicly, its commitment to languages as a fundamental component of a globally engaged, academically rigorous, and socially responsible university.</w:t>
      </w:r>
    </w:p>
    <w:p w14:paraId="0105AD79" w14:textId="77777777" w:rsidR="00023BA7" w:rsidRDefault="00023BA7" w:rsidP="00023BA7">
      <w:pPr>
        <w:pStyle w:val="NormalWeb"/>
        <w:spacing w:line="300" w:lineRule="atLeast"/>
        <w:rPr>
          <w:rFonts w:ascii="Segoe UI" w:hAnsi="Segoe UI" w:cs="Segoe UI"/>
          <w:sz w:val="21"/>
          <w:szCs w:val="21"/>
        </w:rPr>
      </w:pPr>
    </w:p>
    <w:p w14:paraId="16F7CE36" w14:textId="37806F35" w:rsidR="00023BA7" w:rsidRDefault="00023BA7" w:rsidP="00023BA7">
      <w:pPr>
        <w:pStyle w:val="NormalWeb"/>
        <w:spacing w:line="300" w:lineRule="atLeast"/>
        <w:rPr>
          <w:rFonts w:ascii="Segoe UI" w:hAnsi="Segoe UI" w:cs="Segoe UI"/>
          <w:sz w:val="21"/>
          <w:szCs w:val="21"/>
        </w:rPr>
      </w:pPr>
      <w:r>
        <w:rPr>
          <w:rFonts w:ascii="Segoe UI" w:hAnsi="Segoe UI" w:cs="Segoe UI"/>
          <w:noProof/>
          <w:sz w:val="21"/>
          <w:szCs w:val="21"/>
        </w:rPr>
        <w:drawing>
          <wp:inline distT="0" distB="0" distL="0" distR="0" wp14:anchorId="55371A45" wp14:editId="1B450CFC">
            <wp:extent cx="835200" cy="417600"/>
            <wp:effectExtent l="0" t="0" r="3175" b="1905"/>
            <wp:docPr id="405833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833235" name="Picture 40583323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2046" cy="426023"/>
                    </a:xfrm>
                    <a:prstGeom prst="rect">
                      <a:avLst/>
                    </a:prstGeom>
                  </pic:spPr>
                </pic:pic>
              </a:graphicData>
            </a:graphic>
          </wp:inline>
        </w:drawing>
      </w:r>
    </w:p>
    <w:p w14:paraId="7D3A4F83" w14:textId="1A780C3A" w:rsidR="00023BA7" w:rsidRDefault="00023BA7" w:rsidP="00023BA7">
      <w:pPr>
        <w:pStyle w:val="NormalWeb"/>
        <w:spacing w:line="300" w:lineRule="atLeast"/>
        <w:rPr>
          <w:rFonts w:ascii="Segoe UI" w:hAnsi="Segoe UI" w:cs="Segoe UI"/>
          <w:sz w:val="21"/>
          <w:szCs w:val="21"/>
        </w:rPr>
      </w:pPr>
      <w:r>
        <w:rPr>
          <w:rFonts w:ascii="Segoe UI" w:hAnsi="Segoe UI" w:cs="Segoe UI"/>
          <w:sz w:val="21"/>
          <w:szCs w:val="21"/>
        </w:rPr>
        <w:t>Dr Ana de Medeiros</w:t>
      </w:r>
    </w:p>
    <w:p w14:paraId="7E40D0FB" w14:textId="67233CA3" w:rsidR="00023BA7" w:rsidRDefault="00023BA7" w:rsidP="00023BA7">
      <w:pPr>
        <w:pStyle w:val="NormalWeb"/>
        <w:spacing w:line="300" w:lineRule="atLeast"/>
        <w:rPr>
          <w:rFonts w:ascii="Segoe UI" w:hAnsi="Segoe UI" w:cs="Segoe UI"/>
          <w:sz w:val="21"/>
          <w:szCs w:val="21"/>
        </w:rPr>
      </w:pPr>
      <w:r>
        <w:rPr>
          <w:rFonts w:ascii="Segoe UI" w:hAnsi="Segoe UI" w:cs="Segoe UI"/>
          <w:sz w:val="21"/>
          <w:szCs w:val="21"/>
        </w:rPr>
        <w:t>Chair of AULC</w:t>
      </w:r>
    </w:p>
    <w:p w14:paraId="5978D371" w14:textId="77777777" w:rsidR="00023BA7" w:rsidRDefault="00023BA7" w:rsidP="00023BA7"/>
    <w:p w14:paraId="5C82C59F" w14:textId="77777777" w:rsidR="00CB0ED8" w:rsidRPr="005D7FCD" w:rsidRDefault="00CB0ED8" w:rsidP="00FA6938">
      <w:pPr>
        <w:rPr>
          <w:rFonts w:ascii="Trebuchet MS" w:hAnsi="Trebuchet MS"/>
          <w:color w:val="073763"/>
          <w:lang w:val="en-GB"/>
        </w:rPr>
      </w:pPr>
    </w:p>
    <w:p w14:paraId="030A588E" w14:textId="77777777" w:rsidR="00FC3697" w:rsidRDefault="00FC3697" w:rsidP="00AE56E1">
      <w:pPr>
        <w:rPr>
          <w:rFonts w:ascii="Trebuchet MS" w:hAnsi="Trebuchet MS"/>
          <w:color w:val="073763"/>
          <w:lang w:val="en-GB"/>
        </w:rPr>
      </w:pPr>
    </w:p>
    <w:p w14:paraId="3EB650DD" w14:textId="6073A66C" w:rsidR="00642D0B" w:rsidRPr="00F77006" w:rsidRDefault="00642D0B" w:rsidP="00AE56E1">
      <w:pPr>
        <w:rPr>
          <w:rFonts w:ascii="Verdana" w:hAnsi="Verdana" w:cs="Arial"/>
          <w:lang w:val="en-GB"/>
        </w:rPr>
      </w:pPr>
    </w:p>
    <w:sectPr w:rsidR="00642D0B" w:rsidRPr="00F77006" w:rsidSect="0055017B">
      <w:headerReference w:type="default" r:id="rId11"/>
      <w:footerReference w:type="default" r:id="rId12"/>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F2E94" w14:textId="77777777" w:rsidR="0069158B" w:rsidRDefault="0069158B" w:rsidP="00F77006">
      <w:r>
        <w:separator/>
      </w:r>
    </w:p>
  </w:endnote>
  <w:endnote w:type="continuationSeparator" w:id="0">
    <w:p w14:paraId="67F2D421" w14:textId="77777777" w:rsidR="0069158B" w:rsidRDefault="0069158B" w:rsidP="00F77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6626" w14:textId="57BF90DB" w:rsidR="00F77006" w:rsidRPr="00F77006" w:rsidRDefault="00F77006" w:rsidP="00F77006">
    <w:pPr>
      <w:jc w:val="center"/>
      <w:rPr>
        <w:rFonts w:ascii="Verdana" w:hAnsi="Verdana" w:cs="Arial"/>
        <w:lang w:val="en-GB"/>
      </w:rPr>
    </w:pPr>
  </w:p>
  <w:p w14:paraId="01E7EDCF" w14:textId="3B9419BE" w:rsidR="00F77006" w:rsidRPr="004A63D2" w:rsidRDefault="00A87F96" w:rsidP="00F77006">
    <w:pPr>
      <w:jc w:val="center"/>
      <w:rPr>
        <w:rFonts w:ascii="Verdana" w:hAnsi="Verdana"/>
        <w:color w:val="44546A"/>
        <w:sz w:val="32"/>
        <w:szCs w:val="32"/>
        <w:lang w:val="en-GB"/>
      </w:rPr>
    </w:pPr>
    <w:r w:rsidRPr="004A63D2">
      <w:rPr>
        <w:rFonts w:ascii="Verdana" w:hAnsi="Verdana"/>
        <w:color w:val="44546A"/>
        <w:sz w:val="32"/>
        <w:szCs w:val="32"/>
      </w:rPr>
      <w:t>https://aulc.org/</w:t>
    </w:r>
  </w:p>
  <w:p w14:paraId="39AA8ADF" w14:textId="77777777" w:rsidR="00F77006" w:rsidRPr="00A87F96" w:rsidRDefault="00F77006">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C632E" w14:textId="77777777" w:rsidR="0069158B" w:rsidRDefault="0069158B" w:rsidP="00F77006">
      <w:r>
        <w:separator/>
      </w:r>
    </w:p>
  </w:footnote>
  <w:footnote w:type="continuationSeparator" w:id="0">
    <w:p w14:paraId="596D5FFA" w14:textId="77777777" w:rsidR="0069158B" w:rsidRDefault="0069158B" w:rsidP="00F77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EC4" w14:textId="603C3BED" w:rsidR="00445C17" w:rsidRDefault="00445C17" w:rsidP="00AE425E">
    <w:pPr>
      <w:pStyle w:val="Header"/>
      <w:jc w:val="center"/>
    </w:pPr>
    <w:r>
      <w:rPr>
        <w:rFonts w:ascii="Arial" w:hAnsi="Arial" w:cs="Arial"/>
        <w:noProof/>
        <w:kern w:val="36"/>
        <w:lang w:val="en-US"/>
      </w:rPr>
      <w:drawing>
        <wp:inline distT="0" distB="0" distL="0" distR="0" wp14:anchorId="01D3EDD6" wp14:editId="3A57CC16">
          <wp:extent cx="2268220" cy="10489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816" cy="1052957"/>
                  </a:xfrm>
                  <a:prstGeom prst="rect">
                    <a:avLst/>
                  </a:prstGeom>
                  <a:noFill/>
                  <a:ln>
                    <a:noFill/>
                  </a:ln>
                </pic:spPr>
              </pic:pic>
            </a:graphicData>
          </a:graphic>
        </wp:inline>
      </w:drawing>
    </w:r>
  </w:p>
  <w:p w14:paraId="6344AA93" w14:textId="77777777" w:rsidR="00AE425E" w:rsidRDefault="00AE425E" w:rsidP="00AE425E">
    <w:pPr>
      <w:pStyle w:val="Header"/>
      <w:jc w:val="center"/>
    </w:pPr>
  </w:p>
  <w:p w14:paraId="30CEB433" w14:textId="1373AF78" w:rsidR="00AE425E" w:rsidRPr="00716529" w:rsidRDefault="001877D1" w:rsidP="00AE425E">
    <w:pPr>
      <w:pStyle w:val="Header"/>
      <w:jc w:val="center"/>
      <w:rPr>
        <w:rFonts w:ascii="Mongolian Baiti" w:hAnsi="Mongolian Baiti" w:cs="Mongolian Baiti"/>
        <w:color w:val="44546A" w:themeColor="text2"/>
        <w:sz w:val="8"/>
        <w:szCs w:val="8"/>
        <w:lang w:val="en-GB"/>
      </w:rPr>
    </w:pPr>
    <w:r w:rsidRPr="00716529">
      <w:rPr>
        <w:rFonts w:ascii="Mongolian Baiti" w:hAnsi="Mongolian Baiti" w:cs="Mongolian Baiti"/>
        <w:color w:val="44546A" w:themeColor="text2"/>
        <w:sz w:val="32"/>
        <w:szCs w:val="32"/>
        <w:lang w:val="en-GB"/>
      </w:rPr>
      <w:t>Association of University Language Communities in the UK and Ireland</w:t>
    </w:r>
  </w:p>
  <w:p w14:paraId="20958507" w14:textId="77777777" w:rsidR="00AE425E" w:rsidRPr="001877D1" w:rsidRDefault="00AE425E" w:rsidP="00AE425E">
    <w:pPr>
      <w:pStyle w:val="Header"/>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980888"/>
    <w:multiLevelType w:val="hybridMultilevel"/>
    <w:tmpl w:val="F3D0076E"/>
    <w:lvl w:ilvl="0" w:tplc="91166FFE">
      <w:start w:val="8"/>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3607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73E"/>
    <w:rsid w:val="00002F3D"/>
    <w:rsid w:val="0001771E"/>
    <w:rsid w:val="000226E9"/>
    <w:rsid w:val="00023BA7"/>
    <w:rsid w:val="00033F03"/>
    <w:rsid w:val="00042752"/>
    <w:rsid w:val="000661B5"/>
    <w:rsid w:val="000742C2"/>
    <w:rsid w:val="00082DE2"/>
    <w:rsid w:val="000B04D4"/>
    <w:rsid w:val="000B4FFD"/>
    <w:rsid w:val="000B7641"/>
    <w:rsid w:val="000E1731"/>
    <w:rsid w:val="001149EC"/>
    <w:rsid w:val="001210A8"/>
    <w:rsid w:val="00165ACF"/>
    <w:rsid w:val="001877D1"/>
    <w:rsid w:val="00190BF7"/>
    <w:rsid w:val="00193136"/>
    <w:rsid w:val="00195241"/>
    <w:rsid w:val="001B13FC"/>
    <w:rsid w:val="001B44E7"/>
    <w:rsid w:val="001F438F"/>
    <w:rsid w:val="00271806"/>
    <w:rsid w:val="00275376"/>
    <w:rsid w:val="002B5226"/>
    <w:rsid w:val="002C744F"/>
    <w:rsid w:val="002D1F9C"/>
    <w:rsid w:val="00300FF0"/>
    <w:rsid w:val="003231F1"/>
    <w:rsid w:val="00326D88"/>
    <w:rsid w:val="00375A9F"/>
    <w:rsid w:val="0037E46B"/>
    <w:rsid w:val="00390CF2"/>
    <w:rsid w:val="003B55FF"/>
    <w:rsid w:val="003C6468"/>
    <w:rsid w:val="003C7E05"/>
    <w:rsid w:val="003D613A"/>
    <w:rsid w:val="003E51D4"/>
    <w:rsid w:val="003F0300"/>
    <w:rsid w:val="004022B0"/>
    <w:rsid w:val="00427F38"/>
    <w:rsid w:val="0044074E"/>
    <w:rsid w:val="00445C17"/>
    <w:rsid w:val="00473416"/>
    <w:rsid w:val="004812FE"/>
    <w:rsid w:val="004A63D2"/>
    <w:rsid w:val="004E0993"/>
    <w:rsid w:val="004F15B4"/>
    <w:rsid w:val="005374DC"/>
    <w:rsid w:val="0055017B"/>
    <w:rsid w:val="005572BE"/>
    <w:rsid w:val="005B74DB"/>
    <w:rsid w:val="005C24D0"/>
    <w:rsid w:val="005D7FCD"/>
    <w:rsid w:val="005F5239"/>
    <w:rsid w:val="00610AA4"/>
    <w:rsid w:val="00630266"/>
    <w:rsid w:val="00636D97"/>
    <w:rsid w:val="00642D0B"/>
    <w:rsid w:val="00647E9F"/>
    <w:rsid w:val="00680877"/>
    <w:rsid w:val="00686ECC"/>
    <w:rsid w:val="0069158B"/>
    <w:rsid w:val="006A7253"/>
    <w:rsid w:val="006B4FB6"/>
    <w:rsid w:val="006C32BF"/>
    <w:rsid w:val="006D4938"/>
    <w:rsid w:val="006D6FBC"/>
    <w:rsid w:val="006E4C17"/>
    <w:rsid w:val="006E6E76"/>
    <w:rsid w:val="006F09D9"/>
    <w:rsid w:val="006F30F1"/>
    <w:rsid w:val="006F67E7"/>
    <w:rsid w:val="00716529"/>
    <w:rsid w:val="0072479F"/>
    <w:rsid w:val="00742E39"/>
    <w:rsid w:val="007642F5"/>
    <w:rsid w:val="007709CC"/>
    <w:rsid w:val="007764DB"/>
    <w:rsid w:val="007A56E4"/>
    <w:rsid w:val="007A7520"/>
    <w:rsid w:val="007B4210"/>
    <w:rsid w:val="007B7036"/>
    <w:rsid w:val="007F0BA7"/>
    <w:rsid w:val="00820C66"/>
    <w:rsid w:val="0088149F"/>
    <w:rsid w:val="00891625"/>
    <w:rsid w:val="008C0E07"/>
    <w:rsid w:val="008D3FEE"/>
    <w:rsid w:val="008E2F1F"/>
    <w:rsid w:val="008F460E"/>
    <w:rsid w:val="008F7301"/>
    <w:rsid w:val="00907439"/>
    <w:rsid w:val="0092073E"/>
    <w:rsid w:val="00921173"/>
    <w:rsid w:val="00931669"/>
    <w:rsid w:val="0093186F"/>
    <w:rsid w:val="00961425"/>
    <w:rsid w:val="00971BF6"/>
    <w:rsid w:val="009A7BAD"/>
    <w:rsid w:val="009B5508"/>
    <w:rsid w:val="009B5C8F"/>
    <w:rsid w:val="009C164C"/>
    <w:rsid w:val="009C216D"/>
    <w:rsid w:val="009D76DA"/>
    <w:rsid w:val="009F7A2B"/>
    <w:rsid w:val="00A0737F"/>
    <w:rsid w:val="00A1767B"/>
    <w:rsid w:val="00A34BFE"/>
    <w:rsid w:val="00A37AB0"/>
    <w:rsid w:val="00A459D1"/>
    <w:rsid w:val="00A502F7"/>
    <w:rsid w:val="00A67D05"/>
    <w:rsid w:val="00A87F96"/>
    <w:rsid w:val="00AA11F9"/>
    <w:rsid w:val="00AE425E"/>
    <w:rsid w:val="00AE56E1"/>
    <w:rsid w:val="00AF228A"/>
    <w:rsid w:val="00AF3D4E"/>
    <w:rsid w:val="00B0463C"/>
    <w:rsid w:val="00B12D1E"/>
    <w:rsid w:val="00B26E27"/>
    <w:rsid w:val="00B661E2"/>
    <w:rsid w:val="00B66364"/>
    <w:rsid w:val="00B759F7"/>
    <w:rsid w:val="00B768AC"/>
    <w:rsid w:val="00B80A48"/>
    <w:rsid w:val="00B82EDD"/>
    <w:rsid w:val="00BD1132"/>
    <w:rsid w:val="00BF7AF0"/>
    <w:rsid w:val="00C25779"/>
    <w:rsid w:val="00C25F33"/>
    <w:rsid w:val="00C332EC"/>
    <w:rsid w:val="00C533C3"/>
    <w:rsid w:val="00C62ACF"/>
    <w:rsid w:val="00C672B8"/>
    <w:rsid w:val="00CB0ED8"/>
    <w:rsid w:val="00CC10F8"/>
    <w:rsid w:val="00CD57CE"/>
    <w:rsid w:val="00CD6893"/>
    <w:rsid w:val="00CD7436"/>
    <w:rsid w:val="00CE2FA5"/>
    <w:rsid w:val="00D029F0"/>
    <w:rsid w:val="00D06BCD"/>
    <w:rsid w:val="00D36B84"/>
    <w:rsid w:val="00D61ABD"/>
    <w:rsid w:val="00D61B27"/>
    <w:rsid w:val="00D6228F"/>
    <w:rsid w:val="00D63491"/>
    <w:rsid w:val="00D86D1E"/>
    <w:rsid w:val="00D9269B"/>
    <w:rsid w:val="00DC0E27"/>
    <w:rsid w:val="00DC3C96"/>
    <w:rsid w:val="00DC3F20"/>
    <w:rsid w:val="00DC7E76"/>
    <w:rsid w:val="00E02D0F"/>
    <w:rsid w:val="00E0414B"/>
    <w:rsid w:val="00E2063B"/>
    <w:rsid w:val="00E44A10"/>
    <w:rsid w:val="00E47C2F"/>
    <w:rsid w:val="00E57AA5"/>
    <w:rsid w:val="00E84B53"/>
    <w:rsid w:val="00EB226D"/>
    <w:rsid w:val="00EC2D51"/>
    <w:rsid w:val="00ED329B"/>
    <w:rsid w:val="00EF5B7B"/>
    <w:rsid w:val="00EF7239"/>
    <w:rsid w:val="00F03C7A"/>
    <w:rsid w:val="00F365FE"/>
    <w:rsid w:val="00F65414"/>
    <w:rsid w:val="00F77006"/>
    <w:rsid w:val="00F839FA"/>
    <w:rsid w:val="00F87C7B"/>
    <w:rsid w:val="00FA298A"/>
    <w:rsid w:val="00FA6938"/>
    <w:rsid w:val="00FA6B3E"/>
    <w:rsid w:val="00FC3697"/>
    <w:rsid w:val="00FD0483"/>
    <w:rsid w:val="00FE1B3C"/>
    <w:rsid w:val="01348A1E"/>
    <w:rsid w:val="01727DD7"/>
    <w:rsid w:val="020B4455"/>
    <w:rsid w:val="028F2215"/>
    <w:rsid w:val="0354941A"/>
    <w:rsid w:val="03AE4C27"/>
    <w:rsid w:val="04270229"/>
    <w:rsid w:val="04287C39"/>
    <w:rsid w:val="0488DFFA"/>
    <w:rsid w:val="04963FFD"/>
    <w:rsid w:val="04C985AB"/>
    <w:rsid w:val="05B5DC3B"/>
    <w:rsid w:val="05ED38B4"/>
    <w:rsid w:val="065A22A3"/>
    <w:rsid w:val="0665560C"/>
    <w:rsid w:val="066A947C"/>
    <w:rsid w:val="07162DF4"/>
    <w:rsid w:val="075C5F6A"/>
    <w:rsid w:val="089921E9"/>
    <w:rsid w:val="08BA0E28"/>
    <w:rsid w:val="08D9DFE6"/>
    <w:rsid w:val="08DE9972"/>
    <w:rsid w:val="090E6AA8"/>
    <w:rsid w:val="09E88D78"/>
    <w:rsid w:val="0A0B6801"/>
    <w:rsid w:val="0AE15C9B"/>
    <w:rsid w:val="0AEB1E4C"/>
    <w:rsid w:val="0B2A8F59"/>
    <w:rsid w:val="0BB4D168"/>
    <w:rsid w:val="0C3598FB"/>
    <w:rsid w:val="0CBB6F33"/>
    <w:rsid w:val="0CDEF4BC"/>
    <w:rsid w:val="0D48556B"/>
    <w:rsid w:val="0D5A76F8"/>
    <w:rsid w:val="0D743BCD"/>
    <w:rsid w:val="0DC08489"/>
    <w:rsid w:val="0DFE21E4"/>
    <w:rsid w:val="0EF9C318"/>
    <w:rsid w:val="0F8DAD61"/>
    <w:rsid w:val="109111A8"/>
    <w:rsid w:val="10CBC96E"/>
    <w:rsid w:val="11315F40"/>
    <w:rsid w:val="116C8BF0"/>
    <w:rsid w:val="11862867"/>
    <w:rsid w:val="118CB02B"/>
    <w:rsid w:val="11F975B6"/>
    <w:rsid w:val="12262E44"/>
    <w:rsid w:val="123EB0FB"/>
    <w:rsid w:val="12FC8787"/>
    <w:rsid w:val="1341296D"/>
    <w:rsid w:val="141615C6"/>
    <w:rsid w:val="1461E8D8"/>
    <w:rsid w:val="156239FF"/>
    <w:rsid w:val="1565A070"/>
    <w:rsid w:val="15DC3F63"/>
    <w:rsid w:val="15EEDCB8"/>
    <w:rsid w:val="162E211F"/>
    <w:rsid w:val="16D34A21"/>
    <w:rsid w:val="16DE1731"/>
    <w:rsid w:val="16EC1221"/>
    <w:rsid w:val="17A73418"/>
    <w:rsid w:val="18CE5BC6"/>
    <w:rsid w:val="18CF2933"/>
    <w:rsid w:val="194B0582"/>
    <w:rsid w:val="19600A71"/>
    <w:rsid w:val="19AE4F05"/>
    <w:rsid w:val="1A3EDDBF"/>
    <w:rsid w:val="1AB2E5F2"/>
    <w:rsid w:val="1AE2A368"/>
    <w:rsid w:val="1AFC8074"/>
    <w:rsid w:val="1B2419BF"/>
    <w:rsid w:val="1B68AEFF"/>
    <w:rsid w:val="1B837AA0"/>
    <w:rsid w:val="1BBE6A33"/>
    <w:rsid w:val="1C4AF567"/>
    <w:rsid w:val="1CF97497"/>
    <w:rsid w:val="1D047F60"/>
    <w:rsid w:val="1DEC34C0"/>
    <w:rsid w:val="1ECC1A16"/>
    <w:rsid w:val="1F0E6312"/>
    <w:rsid w:val="1F646632"/>
    <w:rsid w:val="1FA4CF38"/>
    <w:rsid w:val="20809FFE"/>
    <w:rsid w:val="2143C77A"/>
    <w:rsid w:val="2178C289"/>
    <w:rsid w:val="21D3C666"/>
    <w:rsid w:val="21EECD33"/>
    <w:rsid w:val="2209FAE4"/>
    <w:rsid w:val="22DADBF1"/>
    <w:rsid w:val="230EA739"/>
    <w:rsid w:val="231492EA"/>
    <w:rsid w:val="231775B6"/>
    <w:rsid w:val="23AD3342"/>
    <w:rsid w:val="24351897"/>
    <w:rsid w:val="245EADEB"/>
    <w:rsid w:val="2473BC31"/>
    <w:rsid w:val="24AAAF78"/>
    <w:rsid w:val="2512D0A0"/>
    <w:rsid w:val="255E8391"/>
    <w:rsid w:val="259F8B82"/>
    <w:rsid w:val="27591C42"/>
    <w:rsid w:val="27AE3EF0"/>
    <w:rsid w:val="2909F144"/>
    <w:rsid w:val="299FFE7D"/>
    <w:rsid w:val="29A14760"/>
    <w:rsid w:val="2AC66D90"/>
    <w:rsid w:val="2AD94A36"/>
    <w:rsid w:val="2AE1A4C7"/>
    <w:rsid w:val="2B5E56C0"/>
    <w:rsid w:val="2BFFFD85"/>
    <w:rsid w:val="2C15F694"/>
    <w:rsid w:val="2C79505F"/>
    <w:rsid w:val="2D495B68"/>
    <w:rsid w:val="2D9F2D3B"/>
    <w:rsid w:val="2DB2A2AF"/>
    <w:rsid w:val="2DF5ECE1"/>
    <w:rsid w:val="2E29FEC0"/>
    <w:rsid w:val="2EA9968C"/>
    <w:rsid w:val="2ED04076"/>
    <w:rsid w:val="2F71F9E5"/>
    <w:rsid w:val="2F832E49"/>
    <w:rsid w:val="2F879777"/>
    <w:rsid w:val="302045A1"/>
    <w:rsid w:val="307C3E98"/>
    <w:rsid w:val="30B285BC"/>
    <w:rsid w:val="30B56723"/>
    <w:rsid w:val="30B646B0"/>
    <w:rsid w:val="30F56A2A"/>
    <w:rsid w:val="31391EB3"/>
    <w:rsid w:val="31993A87"/>
    <w:rsid w:val="327A944B"/>
    <w:rsid w:val="327B19EC"/>
    <w:rsid w:val="32BA6F14"/>
    <w:rsid w:val="32E08C7C"/>
    <w:rsid w:val="33926F71"/>
    <w:rsid w:val="33FEBDB8"/>
    <w:rsid w:val="34BD8397"/>
    <w:rsid w:val="35FF1B97"/>
    <w:rsid w:val="36A1BC3C"/>
    <w:rsid w:val="3735909E"/>
    <w:rsid w:val="374896E3"/>
    <w:rsid w:val="377530DF"/>
    <w:rsid w:val="37DEAD01"/>
    <w:rsid w:val="3877FCA2"/>
    <w:rsid w:val="3933E2C4"/>
    <w:rsid w:val="399282CF"/>
    <w:rsid w:val="39E9E640"/>
    <w:rsid w:val="3A4B3978"/>
    <w:rsid w:val="3A96684D"/>
    <w:rsid w:val="3AD064F3"/>
    <w:rsid w:val="3C213927"/>
    <w:rsid w:val="3C741597"/>
    <w:rsid w:val="3CF5A619"/>
    <w:rsid w:val="3D1D4BC5"/>
    <w:rsid w:val="3D64033D"/>
    <w:rsid w:val="3DAC3390"/>
    <w:rsid w:val="3E6B287D"/>
    <w:rsid w:val="3EAA060D"/>
    <w:rsid w:val="3EB7D7AF"/>
    <w:rsid w:val="3ED68635"/>
    <w:rsid w:val="3F25FEF8"/>
    <w:rsid w:val="3F51850E"/>
    <w:rsid w:val="3F5BA0E6"/>
    <w:rsid w:val="400CC6AC"/>
    <w:rsid w:val="400DD26C"/>
    <w:rsid w:val="4081CCE1"/>
    <w:rsid w:val="411E9281"/>
    <w:rsid w:val="4140639E"/>
    <w:rsid w:val="41530DBC"/>
    <w:rsid w:val="41AB663D"/>
    <w:rsid w:val="420C01FF"/>
    <w:rsid w:val="420DBF92"/>
    <w:rsid w:val="421CEB0E"/>
    <w:rsid w:val="427EF76C"/>
    <w:rsid w:val="4286CA89"/>
    <w:rsid w:val="42D412C8"/>
    <w:rsid w:val="430725D0"/>
    <w:rsid w:val="430D729C"/>
    <w:rsid w:val="431D3E76"/>
    <w:rsid w:val="43A67439"/>
    <w:rsid w:val="43D84F87"/>
    <w:rsid w:val="44C81859"/>
    <w:rsid w:val="459DB174"/>
    <w:rsid w:val="45AC937F"/>
    <w:rsid w:val="464F2E73"/>
    <w:rsid w:val="4732E91D"/>
    <w:rsid w:val="478D7557"/>
    <w:rsid w:val="4850F4E6"/>
    <w:rsid w:val="48F9115B"/>
    <w:rsid w:val="49740900"/>
    <w:rsid w:val="499B27D5"/>
    <w:rsid w:val="49E521A8"/>
    <w:rsid w:val="4A4C4B9A"/>
    <w:rsid w:val="4A87776C"/>
    <w:rsid w:val="4ACE1D87"/>
    <w:rsid w:val="4AED1701"/>
    <w:rsid w:val="4B28BACA"/>
    <w:rsid w:val="4B95BDB6"/>
    <w:rsid w:val="4BD720FF"/>
    <w:rsid w:val="4C2347CD"/>
    <w:rsid w:val="4D3E8F24"/>
    <w:rsid w:val="4D4078D1"/>
    <w:rsid w:val="4D7557D9"/>
    <w:rsid w:val="4DCA44E0"/>
    <w:rsid w:val="4E5AF218"/>
    <w:rsid w:val="4E68390F"/>
    <w:rsid w:val="4EED894B"/>
    <w:rsid w:val="4F413D96"/>
    <w:rsid w:val="4FE58EF0"/>
    <w:rsid w:val="4FF1035B"/>
    <w:rsid w:val="50A8BCF2"/>
    <w:rsid w:val="518CD3BC"/>
    <w:rsid w:val="52A30B1D"/>
    <w:rsid w:val="5360F6F7"/>
    <w:rsid w:val="538AD28A"/>
    <w:rsid w:val="53A19D07"/>
    <w:rsid w:val="53DA0583"/>
    <w:rsid w:val="55406291"/>
    <w:rsid w:val="57B2AE47"/>
    <w:rsid w:val="57E31E05"/>
    <w:rsid w:val="580510DD"/>
    <w:rsid w:val="58425996"/>
    <w:rsid w:val="5925091E"/>
    <w:rsid w:val="59286549"/>
    <w:rsid w:val="593BA2A2"/>
    <w:rsid w:val="59636464"/>
    <w:rsid w:val="597EBD44"/>
    <w:rsid w:val="5988EB70"/>
    <w:rsid w:val="598C8FEA"/>
    <w:rsid w:val="59C2BF71"/>
    <w:rsid w:val="5A3412AC"/>
    <w:rsid w:val="5B1D85C4"/>
    <w:rsid w:val="5B8FC054"/>
    <w:rsid w:val="5BFFFFCE"/>
    <w:rsid w:val="5C708F0A"/>
    <w:rsid w:val="5C85E629"/>
    <w:rsid w:val="5CE9B991"/>
    <w:rsid w:val="5D0742AF"/>
    <w:rsid w:val="5D5AC384"/>
    <w:rsid w:val="5DEA7D04"/>
    <w:rsid w:val="5F25F869"/>
    <w:rsid w:val="5FCA0731"/>
    <w:rsid w:val="5FDE7865"/>
    <w:rsid w:val="5FDFFC07"/>
    <w:rsid w:val="6041548B"/>
    <w:rsid w:val="60AA679F"/>
    <w:rsid w:val="610D8439"/>
    <w:rsid w:val="6201A359"/>
    <w:rsid w:val="6220E643"/>
    <w:rsid w:val="6264268B"/>
    <w:rsid w:val="62E2F070"/>
    <w:rsid w:val="6349C336"/>
    <w:rsid w:val="6362B8F0"/>
    <w:rsid w:val="6366DF2B"/>
    <w:rsid w:val="6446B583"/>
    <w:rsid w:val="64BB25C9"/>
    <w:rsid w:val="64D7C42D"/>
    <w:rsid w:val="650537EA"/>
    <w:rsid w:val="660CB1B3"/>
    <w:rsid w:val="6622DAC3"/>
    <w:rsid w:val="665CFB16"/>
    <w:rsid w:val="666C3469"/>
    <w:rsid w:val="670F6483"/>
    <w:rsid w:val="6714AD88"/>
    <w:rsid w:val="68485905"/>
    <w:rsid w:val="6858E617"/>
    <w:rsid w:val="68947932"/>
    <w:rsid w:val="68967BA5"/>
    <w:rsid w:val="68E7E64D"/>
    <w:rsid w:val="69776D80"/>
    <w:rsid w:val="69C51E1A"/>
    <w:rsid w:val="6B4513BA"/>
    <w:rsid w:val="6B50F50D"/>
    <w:rsid w:val="6B96652F"/>
    <w:rsid w:val="6BD0F546"/>
    <w:rsid w:val="6BF6D48D"/>
    <w:rsid w:val="6C823E13"/>
    <w:rsid w:val="6C956FC3"/>
    <w:rsid w:val="6CD6BDE4"/>
    <w:rsid w:val="6D3556A9"/>
    <w:rsid w:val="6D629487"/>
    <w:rsid w:val="6D77F8A3"/>
    <w:rsid w:val="6DA6E7A5"/>
    <w:rsid w:val="6DC044C3"/>
    <w:rsid w:val="6E801FCA"/>
    <w:rsid w:val="702490AE"/>
    <w:rsid w:val="7045AE66"/>
    <w:rsid w:val="70B1EF45"/>
    <w:rsid w:val="713522C0"/>
    <w:rsid w:val="71D1B857"/>
    <w:rsid w:val="730FA3F9"/>
    <w:rsid w:val="7311CED8"/>
    <w:rsid w:val="7333A5CD"/>
    <w:rsid w:val="7360ABD5"/>
    <w:rsid w:val="73A14357"/>
    <w:rsid w:val="74303E12"/>
    <w:rsid w:val="7459C463"/>
    <w:rsid w:val="751EA922"/>
    <w:rsid w:val="76AB5854"/>
    <w:rsid w:val="7709AD26"/>
    <w:rsid w:val="785EDAD4"/>
    <w:rsid w:val="7A25F124"/>
    <w:rsid w:val="7AC88686"/>
    <w:rsid w:val="7AD36251"/>
    <w:rsid w:val="7ADB87EE"/>
    <w:rsid w:val="7AF192FF"/>
    <w:rsid w:val="7BA1E17D"/>
    <w:rsid w:val="7C26E963"/>
    <w:rsid w:val="7C6D47DE"/>
    <w:rsid w:val="7D47B8E9"/>
    <w:rsid w:val="7DB96D0B"/>
    <w:rsid w:val="7E18F973"/>
    <w:rsid w:val="7EAD994F"/>
    <w:rsid w:val="7F193C71"/>
    <w:rsid w:val="7F2B08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C48EC6"/>
  <w15:chartTrackingRefBased/>
  <w15:docId w15:val="{BCCA6747-6274-4DAE-9F08-34FDBC522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qFormat/>
    <w:pPr>
      <w:keepNext/>
      <w:snapToGrid w:val="0"/>
      <w:jc w:val="center"/>
      <w:outlineLvl w:val="0"/>
    </w:pPr>
    <w:rPr>
      <w:rFonts w:ascii="Arial" w:hAnsi="Arial" w:cs="Arial"/>
      <w:b/>
      <w:bCs/>
      <w:kern w:val="36"/>
    </w:rPr>
  </w:style>
  <w:style w:type="paragraph" w:styleId="Heading2">
    <w:name w:val="heading 2"/>
    <w:basedOn w:val="Normal"/>
    <w:next w:val="Normal"/>
    <w:qFormat/>
    <w:pPr>
      <w:keepNext/>
      <w:jc w:val="center"/>
      <w:outlineLvl w:val="1"/>
    </w:pPr>
    <w:rPr>
      <w:rFonts w:ascii="Arial" w:hAnsi="Arial" w:cs="Arial"/>
      <w:b/>
      <w:bCs/>
      <w:sz w:val="72"/>
      <w:szCs w:val="72"/>
      <w:lang w:val="en-GB"/>
    </w:rPr>
  </w:style>
  <w:style w:type="paragraph" w:styleId="Heading3">
    <w:name w:val="heading 3"/>
    <w:basedOn w:val="Normal"/>
    <w:next w:val="Normal"/>
    <w:qFormat/>
    <w:pPr>
      <w:keepNext/>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B4FB6"/>
    <w:rPr>
      <w:rFonts w:ascii="Segoe UI" w:hAnsi="Segoe UI" w:cs="Segoe UI"/>
      <w:sz w:val="18"/>
      <w:szCs w:val="18"/>
    </w:rPr>
  </w:style>
  <w:style w:type="character" w:customStyle="1" w:styleId="BalloonTextChar">
    <w:name w:val="Balloon Text Char"/>
    <w:basedOn w:val="DefaultParagraphFont"/>
    <w:link w:val="BalloonText"/>
    <w:rsid w:val="006B4FB6"/>
    <w:rPr>
      <w:rFonts w:ascii="Segoe UI" w:hAnsi="Segoe UI" w:cs="Segoe UI"/>
      <w:sz w:val="18"/>
      <w:szCs w:val="18"/>
    </w:rPr>
  </w:style>
  <w:style w:type="character" w:styleId="Hyperlink">
    <w:name w:val="Hyperlink"/>
    <w:basedOn w:val="DefaultParagraphFont"/>
    <w:rsid w:val="00D6228F"/>
    <w:rPr>
      <w:color w:val="0563C1" w:themeColor="hyperlink"/>
      <w:u w:val="single"/>
    </w:rPr>
  </w:style>
  <w:style w:type="table" w:styleId="TableGrid">
    <w:name w:val="Table Grid"/>
    <w:basedOn w:val="TableNormal"/>
    <w:uiPriority w:val="39"/>
    <w:rsid w:val="00F770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77006"/>
    <w:pPr>
      <w:tabs>
        <w:tab w:val="center" w:pos="4513"/>
        <w:tab w:val="right" w:pos="9026"/>
      </w:tabs>
    </w:pPr>
  </w:style>
  <w:style w:type="character" w:customStyle="1" w:styleId="HeaderChar">
    <w:name w:val="Header Char"/>
    <w:basedOn w:val="DefaultParagraphFont"/>
    <w:link w:val="Header"/>
    <w:rsid w:val="00F77006"/>
    <w:rPr>
      <w:sz w:val="24"/>
      <w:szCs w:val="24"/>
    </w:rPr>
  </w:style>
  <w:style w:type="paragraph" w:styleId="Footer">
    <w:name w:val="footer"/>
    <w:basedOn w:val="Normal"/>
    <w:link w:val="FooterChar"/>
    <w:rsid w:val="00F77006"/>
    <w:pPr>
      <w:tabs>
        <w:tab w:val="center" w:pos="4513"/>
        <w:tab w:val="right" w:pos="9026"/>
      </w:tabs>
    </w:pPr>
  </w:style>
  <w:style w:type="character" w:customStyle="1" w:styleId="FooterChar">
    <w:name w:val="Footer Char"/>
    <w:basedOn w:val="DefaultParagraphFont"/>
    <w:link w:val="Footer"/>
    <w:rsid w:val="00F77006"/>
    <w:rPr>
      <w:sz w:val="24"/>
      <w:szCs w:val="24"/>
    </w:rPr>
  </w:style>
  <w:style w:type="character" w:customStyle="1" w:styleId="normaltextrun">
    <w:name w:val="normaltextrun"/>
    <w:basedOn w:val="DefaultParagraphFont"/>
    <w:rsid w:val="0055017B"/>
  </w:style>
  <w:style w:type="character" w:customStyle="1" w:styleId="eop">
    <w:name w:val="eop"/>
    <w:basedOn w:val="DefaultParagraphFont"/>
    <w:rsid w:val="0055017B"/>
  </w:style>
  <w:style w:type="character" w:styleId="UnresolvedMention">
    <w:name w:val="Unresolved Mention"/>
    <w:basedOn w:val="DefaultParagraphFont"/>
    <w:uiPriority w:val="99"/>
    <w:semiHidden/>
    <w:unhideWhenUsed/>
    <w:rsid w:val="00427F38"/>
    <w:rPr>
      <w:color w:val="605E5C"/>
      <w:shd w:val="clear" w:color="auto" w:fill="E1DFDD"/>
    </w:rPr>
  </w:style>
  <w:style w:type="paragraph" w:styleId="ListParagraph">
    <w:name w:val="List Paragraph"/>
    <w:basedOn w:val="Normal"/>
    <w:uiPriority w:val="34"/>
    <w:qFormat/>
    <w:rsid w:val="003F0300"/>
    <w:pPr>
      <w:ind w:left="720"/>
      <w:contextualSpacing/>
    </w:pPr>
  </w:style>
  <w:style w:type="paragraph" w:styleId="NormalWeb">
    <w:name w:val="Normal (Web)"/>
    <w:basedOn w:val="Normal"/>
    <w:uiPriority w:val="99"/>
    <w:unhideWhenUsed/>
    <w:rsid w:val="00023BA7"/>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8547">
      <w:bodyDiv w:val="1"/>
      <w:marLeft w:val="0"/>
      <w:marRight w:val="0"/>
      <w:marTop w:val="0"/>
      <w:marBottom w:val="0"/>
      <w:divBdr>
        <w:top w:val="none" w:sz="0" w:space="0" w:color="auto"/>
        <w:left w:val="none" w:sz="0" w:space="0" w:color="auto"/>
        <w:bottom w:val="none" w:sz="0" w:space="0" w:color="auto"/>
        <w:right w:val="none" w:sz="0" w:space="0" w:color="auto"/>
      </w:divBdr>
    </w:div>
    <w:div w:id="209072270">
      <w:bodyDiv w:val="1"/>
      <w:marLeft w:val="0"/>
      <w:marRight w:val="0"/>
      <w:marTop w:val="0"/>
      <w:marBottom w:val="0"/>
      <w:divBdr>
        <w:top w:val="none" w:sz="0" w:space="0" w:color="auto"/>
        <w:left w:val="none" w:sz="0" w:space="0" w:color="auto"/>
        <w:bottom w:val="none" w:sz="0" w:space="0" w:color="auto"/>
        <w:right w:val="none" w:sz="0" w:space="0" w:color="auto"/>
      </w:divBdr>
    </w:div>
    <w:div w:id="470095676">
      <w:bodyDiv w:val="1"/>
      <w:marLeft w:val="0"/>
      <w:marRight w:val="0"/>
      <w:marTop w:val="0"/>
      <w:marBottom w:val="0"/>
      <w:divBdr>
        <w:top w:val="none" w:sz="0" w:space="0" w:color="auto"/>
        <w:left w:val="none" w:sz="0" w:space="0" w:color="auto"/>
        <w:bottom w:val="none" w:sz="0" w:space="0" w:color="auto"/>
        <w:right w:val="none" w:sz="0" w:space="0" w:color="auto"/>
      </w:divBdr>
    </w:div>
    <w:div w:id="543099462">
      <w:bodyDiv w:val="1"/>
      <w:marLeft w:val="0"/>
      <w:marRight w:val="0"/>
      <w:marTop w:val="0"/>
      <w:marBottom w:val="0"/>
      <w:divBdr>
        <w:top w:val="none" w:sz="0" w:space="0" w:color="auto"/>
        <w:left w:val="none" w:sz="0" w:space="0" w:color="auto"/>
        <w:bottom w:val="none" w:sz="0" w:space="0" w:color="auto"/>
        <w:right w:val="none" w:sz="0" w:space="0" w:color="auto"/>
      </w:divBdr>
    </w:div>
    <w:div w:id="653488026">
      <w:bodyDiv w:val="1"/>
      <w:marLeft w:val="0"/>
      <w:marRight w:val="0"/>
      <w:marTop w:val="0"/>
      <w:marBottom w:val="0"/>
      <w:divBdr>
        <w:top w:val="none" w:sz="0" w:space="0" w:color="auto"/>
        <w:left w:val="none" w:sz="0" w:space="0" w:color="auto"/>
        <w:bottom w:val="none" w:sz="0" w:space="0" w:color="auto"/>
        <w:right w:val="none" w:sz="0" w:space="0" w:color="auto"/>
      </w:divBdr>
    </w:div>
    <w:div w:id="1023245171">
      <w:bodyDiv w:val="1"/>
      <w:marLeft w:val="0"/>
      <w:marRight w:val="0"/>
      <w:marTop w:val="0"/>
      <w:marBottom w:val="0"/>
      <w:divBdr>
        <w:top w:val="none" w:sz="0" w:space="0" w:color="auto"/>
        <w:left w:val="none" w:sz="0" w:space="0" w:color="auto"/>
        <w:bottom w:val="none" w:sz="0" w:space="0" w:color="auto"/>
        <w:right w:val="none" w:sz="0" w:space="0" w:color="auto"/>
      </w:divBdr>
    </w:div>
    <w:div w:id="1356423889">
      <w:bodyDiv w:val="1"/>
      <w:marLeft w:val="0"/>
      <w:marRight w:val="0"/>
      <w:marTop w:val="0"/>
      <w:marBottom w:val="0"/>
      <w:divBdr>
        <w:top w:val="none" w:sz="0" w:space="0" w:color="auto"/>
        <w:left w:val="none" w:sz="0" w:space="0" w:color="auto"/>
        <w:bottom w:val="none" w:sz="0" w:space="0" w:color="auto"/>
        <w:right w:val="none" w:sz="0" w:space="0" w:color="auto"/>
      </w:divBdr>
    </w:div>
    <w:div w:id="1550454905">
      <w:bodyDiv w:val="1"/>
      <w:marLeft w:val="0"/>
      <w:marRight w:val="0"/>
      <w:marTop w:val="0"/>
      <w:marBottom w:val="0"/>
      <w:divBdr>
        <w:top w:val="none" w:sz="0" w:space="0" w:color="auto"/>
        <w:left w:val="none" w:sz="0" w:space="0" w:color="auto"/>
        <w:bottom w:val="none" w:sz="0" w:space="0" w:color="auto"/>
        <w:right w:val="none" w:sz="0" w:space="0" w:color="auto"/>
      </w:divBdr>
    </w:div>
    <w:div w:id="1631545414">
      <w:bodyDiv w:val="1"/>
      <w:marLeft w:val="0"/>
      <w:marRight w:val="0"/>
      <w:marTop w:val="0"/>
      <w:marBottom w:val="0"/>
      <w:divBdr>
        <w:top w:val="none" w:sz="0" w:space="0" w:color="auto"/>
        <w:left w:val="none" w:sz="0" w:space="0" w:color="auto"/>
        <w:bottom w:val="none" w:sz="0" w:space="0" w:color="auto"/>
        <w:right w:val="none" w:sz="0" w:space="0" w:color="auto"/>
      </w:divBdr>
    </w:div>
    <w:div w:id="1768427103">
      <w:bodyDiv w:val="1"/>
      <w:marLeft w:val="0"/>
      <w:marRight w:val="0"/>
      <w:marTop w:val="0"/>
      <w:marBottom w:val="0"/>
      <w:divBdr>
        <w:top w:val="none" w:sz="0" w:space="0" w:color="auto"/>
        <w:left w:val="none" w:sz="0" w:space="0" w:color="auto"/>
        <w:bottom w:val="none" w:sz="0" w:space="0" w:color="auto"/>
        <w:right w:val="none" w:sz="0" w:space="0" w:color="auto"/>
      </w:divBdr>
      <w:divsChild>
        <w:div w:id="486095170">
          <w:marLeft w:val="0"/>
          <w:marRight w:val="0"/>
          <w:marTop w:val="0"/>
          <w:marBottom w:val="0"/>
          <w:divBdr>
            <w:top w:val="none" w:sz="0" w:space="0" w:color="auto"/>
            <w:left w:val="none" w:sz="0" w:space="0" w:color="auto"/>
            <w:bottom w:val="none" w:sz="0" w:space="0" w:color="auto"/>
            <w:right w:val="none" w:sz="0" w:space="0" w:color="auto"/>
          </w:divBdr>
        </w:div>
        <w:div w:id="695152736">
          <w:marLeft w:val="0"/>
          <w:marRight w:val="0"/>
          <w:marTop w:val="0"/>
          <w:marBottom w:val="0"/>
          <w:divBdr>
            <w:top w:val="none" w:sz="0" w:space="0" w:color="auto"/>
            <w:left w:val="none" w:sz="0" w:space="0" w:color="auto"/>
            <w:bottom w:val="none" w:sz="0" w:space="0" w:color="auto"/>
            <w:right w:val="none" w:sz="0" w:space="0" w:color="auto"/>
          </w:divBdr>
        </w:div>
      </w:divsChild>
    </w:div>
    <w:div w:id="1799955644">
      <w:bodyDiv w:val="1"/>
      <w:marLeft w:val="0"/>
      <w:marRight w:val="0"/>
      <w:marTop w:val="0"/>
      <w:marBottom w:val="0"/>
      <w:divBdr>
        <w:top w:val="none" w:sz="0" w:space="0" w:color="auto"/>
        <w:left w:val="none" w:sz="0" w:space="0" w:color="auto"/>
        <w:bottom w:val="none" w:sz="0" w:space="0" w:color="auto"/>
        <w:right w:val="none" w:sz="0" w:space="0" w:color="auto"/>
      </w:divBdr>
    </w:div>
    <w:div w:id="1800763784">
      <w:bodyDiv w:val="1"/>
      <w:marLeft w:val="0"/>
      <w:marRight w:val="0"/>
      <w:marTop w:val="0"/>
      <w:marBottom w:val="0"/>
      <w:divBdr>
        <w:top w:val="none" w:sz="0" w:space="0" w:color="auto"/>
        <w:left w:val="none" w:sz="0" w:space="0" w:color="auto"/>
        <w:bottom w:val="none" w:sz="0" w:space="0" w:color="auto"/>
        <w:right w:val="none" w:sz="0" w:space="0" w:color="auto"/>
      </w:divBdr>
      <w:divsChild>
        <w:div w:id="962157704">
          <w:marLeft w:val="0"/>
          <w:marRight w:val="0"/>
          <w:marTop w:val="0"/>
          <w:marBottom w:val="0"/>
          <w:divBdr>
            <w:top w:val="single" w:sz="6" w:space="1" w:color="C0C0C0"/>
            <w:left w:val="single" w:sz="6" w:space="1" w:color="C0C0C0"/>
            <w:bottom w:val="single" w:sz="6" w:space="1" w:color="C0C0C0"/>
            <w:right w:val="single" w:sz="6" w:space="1" w:color="C0C0C0"/>
          </w:divBdr>
          <w:divsChild>
            <w:div w:id="139030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871840">
      <w:bodyDiv w:val="1"/>
      <w:marLeft w:val="0"/>
      <w:marRight w:val="0"/>
      <w:marTop w:val="0"/>
      <w:marBottom w:val="0"/>
      <w:divBdr>
        <w:top w:val="none" w:sz="0" w:space="0" w:color="auto"/>
        <w:left w:val="none" w:sz="0" w:space="0" w:color="auto"/>
        <w:bottom w:val="none" w:sz="0" w:space="0" w:color="auto"/>
        <w:right w:val="none" w:sz="0" w:space="0" w:color="auto"/>
      </w:divBdr>
    </w:div>
    <w:div w:id="202802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0c0dd72-9eed-44a5-a1b4-23d4961c928d">
      <Terms xmlns="http://schemas.microsoft.com/office/infopath/2007/PartnerControls"/>
    </lcf76f155ced4ddcb4097134ff3c332f>
    <TaxCatchAll xmlns="530fa7d0-2951-4622-8688-dc929cb9975a"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38D3BC88176B4BA7F9BF2E53ABA01E" ma:contentTypeVersion="16" ma:contentTypeDescription="Create a new document." ma:contentTypeScope="" ma:versionID="b8dc7c33d770377d0f7bba2c88538126">
  <xsd:schema xmlns:xsd="http://www.w3.org/2001/XMLSchema" xmlns:xs="http://www.w3.org/2001/XMLSchema" xmlns:p="http://schemas.microsoft.com/office/2006/metadata/properties" xmlns:ns1="http://schemas.microsoft.com/sharepoint/v3" xmlns:ns2="20c0dd72-9eed-44a5-a1b4-23d4961c928d" xmlns:ns3="530fa7d0-2951-4622-8688-dc929cb9975a" targetNamespace="http://schemas.microsoft.com/office/2006/metadata/properties" ma:root="true" ma:fieldsID="5feea3d7f4ec8f65d7b9b5980435b68a" ns1:_="" ns2:_="" ns3:_="">
    <xsd:import namespace="http://schemas.microsoft.com/sharepoint/v3"/>
    <xsd:import namespace="20c0dd72-9eed-44a5-a1b4-23d4961c928d"/>
    <xsd:import namespace="530fa7d0-2951-4622-8688-dc929cb9975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c0dd72-9eed-44a5-a1b4-23d4961c9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31d7151-b795-48f9-9207-6285658e27a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0fa7d0-2951-4622-8688-dc929cb9975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56262a6-c37b-4885-ba1e-95b76594b416}" ma:internalName="TaxCatchAll" ma:showField="CatchAllData" ma:web="530fa7d0-2951-4622-8688-dc929cb997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4DD060-32DA-439E-9C8A-F53DFF153AA1}">
  <ds:schemaRefs>
    <ds:schemaRef ds:uri="http://schemas.microsoft.com/sharepoint/v3/contenttype/forms"/>
  </ds:schemaRefs>
</ds:datastoreItem>
</file>

<file path=customXml/itemProps2.xml><?xml version="1.0" encoding="utf-8"?>
<ds:datastoreItem xmlns:ds="http://schemas.openxmlformats.org/officeDocument/2006/customXml" ds:itemID="{4B6749FC-4CE2-4B48-9E03-34E01393F23C}">
  <ds:schemaRefs>
    <ds:schemaRef ds:uri="http://schemas.microsoft.com/office/2006/metadata/properties"/>
    <ds:schemaRef ds:uri="http://schemas.microsoft.com/office/infopath/2007/PartnerControls"/>
    <ds:schemaRef ds:uri="http://schemas.microsoft.com/sharepoint/v3"/>
    <ds:schemaRef ds:uri="20c0dd72-9eed-44a5-a1b4-23d4961c928d"/>
    <ds:schemaRef ds:uri="530fa7d0-2951-4622-8688-dc929cb9975a"/>
  </ds:schemaRefs>
</ds:datastoreItem>
</file>

<file path=customXml/itemProps3.xml><?xml version="1.0" encoding="utf-8"?>
<ds:datastoreItem xmlns:ds="http://schemas.openxmlformats.org/officeDocument/2006/customXml" ds:itemID="{C9A14CA5-68B2-4091-BBF2-E8B8B3326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c0dd72-9eed-44a5-a1b4-23d4961c928d"/>
    <ds:schemaRef ds:uri="530fa7d0-2951-4622-8688-dc929cb99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EIN: 13-3800869</vt:lpstr>
    </vt:vector>
  </TitlesOfParts>
  <Company>licensed</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 13-3800869</dc:title>
  <dc:subject/>
  <dc:creator>academico</dc:creator>
  <cp:keywords/>
  <dc:description/>
  <cp:lastModifiedBy>Ana Maria Sousa Aguiar de Medeiros</cp:lastModifiedBy>
  <cp:revision>2</cp:revision>
  <cp:lastPrinted>2025-02-11T21:22:00Z</cp:lastPrinted>
  <dcterms:created xsi:type="dcterms:W3CDTF">2026-06-15T08:43:00Z</dcterms:created>
  <dcterms:modified xsi:type="dcterms:W3CDTF">2026-06-15T08:43:00Z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0x0101007338D3BC88176B4BA7F9BF2E53ABA01E</vt:lpwstr>
  </property>
</Properties>
</file>